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2DC" w:rsidRPr="00A042DC" w:rsidRDefault="00A042DC" w:rsidP="00A042DC">
      <w:pPr>
        <w:pStyle w:val="Default"/>
        <w:rPr>
          <w:rFonts w:ascii="Corbel" w:hAnsi="Corbel" w:cstheme="minorBidi"/>
          <w:color w:val="auto"/>
          <w:sz w:val="48"/>
          <w:szCs w:val="48"/>
        </w:rPr>
      </w:pPr>
      <w:bookmarkStart w:id="0" w:name="_GoBack"/>
      <w:bookmarkEnd w:id="0"/>
      <w:r w:rsidRPr="00A042DC">
        <w:rPr>
          <w:rFonts w:ascii="Corbel" w:hAnsi="Corbel"/>
          <w:b/>
          <w:color w:val="215868" w:themeColor="accent5" w:themeShade="80"/>
          <w:sz w:val="40"/>
          <w:szCs w:val="40"/>
        </w:rPr>
        <w:t xml:space="preserve">Traduction du diaporama pour </w:t>
      </w:r>
      <w:r>
        <w:rPr>
          <w:rFonts w:ascii="Corbel" w:hAnsi="Corbel"/>
          <w:b/>
          <w:color w:val="215868" w:themeColor="accent5" w:themeShade="80"/>
          <w:sz w:val="40"/>
          <w:szCs w:val="40"/>
        </w:rPr>
        <w:t>« </w:t>
      </w:r>
      <w:r w:rsidRPr="00A042DC">
        <w:rPr>
          <w:rFonts w:ascii="Corbel" w:hAnsi="Corbel"/>
          <w:b/>
          <w:color w:val="215868" w:themeColor="accent5" w:themeShade="80"/>
          <w:sz w:val="40"/>
          <w:szCs w:val="40"/>
        </w:rPr>
        <w:t>les diapo 3, 9 et 10</w:t>
      </w:r>
      <w:r>
        <w:rPr>
          <w:rFonts w:ascii="Corbel" w:hAnsi="Corbel"/>
          <w:b/>
          <w:color w:val="215868" w:themeColor="accent5" w:themeShade="80"/>
          <w:sz w:val="40"/>
          <w:szCs w:val="40"/>
        </w:rPr>
        <w:t> »</w:t>
      </w:r>
      <w:r w:rsidRPr="00A042DC">
        <w:rPr>
          <w:rFonts w:ascii="Corbel" w:hAnsi="Corbel"/>
          <w:b/>
          <w:color w:val="215868" w:themeColor="accent5" w:themeShade="80"/>
          <w:sz w:val="40"/>
          <w:szCs w:val="40"/>
        </w:rPr>
        <w:t xml:space="preserve">  </w:t>
      </w:r>
    </w:p>
    <w:p w:rsidR="00A042DC" w:rsidRPr="00A042DC" w:rsidRDefault="00A042DC" w:rsidP="00B5547A">
      <w:pPr>
        <w:rPr>
          <w:rFonts w:ascii="Corbel" w:hAnsi="Corbel"/>
          <w:b/>
          <w:color w:val="215868" w:themeColor="accent5" w:themeShade="80"/>
          <w:sz w:val="40"/>
          <w:szCs w:val="40"/>
          <w:u w:val="single"/>
        </w:rPr>
      </w:pPr>
      <w:r w:rsidRPr="00A042DC">
        <w:rPr>
          <w:rFonts w:ascii="Corbel" w:hAnsi="Corbel"/>
          <w:b/>
          <w:color w:val="215868" w:themeColor="accent5" w:themeShade="80"/>
          <w:sz w:val="40"/>
          <w:szCs w:val="40"/>
        </w:rPr>
        <w:t xml:space="preserve">Diaporama présenté par </w:t>
      </w:r>
      <w:r w:rsidRPr="00A042DC">
        <w:rPr>
          <w:rFonts w:ascii="Corbel" w:hAnsi="Corbel"/>
          <w:b/>
          <w:bCs/>
          <w:color w:val="215868" w:themeColor="accent5" w:themeShade="80"/>
          <w:sz w:val="40"/>
          <w:szCs w:val="40"/>
        </w:rPr>
        <w:t>« </w:t>
      </w:r>
      <w:r w:rsidRPr="00A042DC">
        <w:rPr>
          <w:rFonts w:ascii="Corbel" w:hAnsi="Corbel"/>
          <w:b/>
          <w:bCs/>
          <w:color w:val="215868" w:themeColor="accent5" w:themeShade="80"/>
          <w:sz w:val="40"/>
          <w:szCs w:val="40"/>
        </w:rPr>
        <w:t>istas.ccoo.es</w:t>
      </w:r>
      <w:r w:rsidRPr="00A042DC">
        <w:rPr>
          <w:rFonts w:ascii="Corbel" w:hAnsi="Corbel"/>
          <w:b/>
          <w:bCs/>
          <w:color w:val="215868" w:themeColor="accent5" w:themeShade="80"/>
          <w:sz w:val="40"/>
          <w:szCs w:val="40"/>
        </w:rPr>
        <w:t> » à Londres en mai 2013</w:t>
      </w:r>
    </w:p>
    <w:p w:rsidR="00A042DC" w:rsidRPr="00A042DC" w:rsidRDefault="00A042DC" w:rsidP="00B5547A">
      <w:pPr>
        <w:rPr>
          <w:rFonts w:ascii="Corbel" w:hAnsi="Corbel"/>
          <w:b/>
          <w:color w:val="215868" w:themeColor="accent5" w:themeShade="80"/>
          <w:u w:val="single"/>
        </w:rPr>
      </w:pPr>
    </w:p>
    <w:p w:rsidR="00A042DC" w:rsidRPr="00A042DC" w:rsidRDefault="00A042DC" w:rsidP="00A042DC">
      <w:pPr>
        <w:rPr>
          <w:rFonts w:ascii="Corbel" w:hAnsi="Corbel"/>
          <w:b/>
          <w:color w:val="215868" w:themeColor="accent5" w:themeShade="80"/>
          <w:u w:val="single"/>
        </w:rPr>
      </w:pPr>
      <w:r w:rsidRPr="00A042DC">
        <w:rPr>
          <w:rFonts w:ascii="Corbel" w:hAnsi="Corbel"/>
          <w:b/>
          <w:color w:val="215868" w:themeColor="accent5" w:themeShade="80"/>
          <w:u w:val="single"/>
        </w:rPr>
        <w:t xml:space="preserve">Diapo 3 </w:t>
      </w:r>
      <w:r>
        <w:rPr>
          <w:rFonts w:ascii="Corbel" w:hAnsi="Corbel"/>
          <w:b/>
          <w:color w:val="215868" w:themeColor="accent5" w:themeShade="80"/>
          <w:u w:val="single"/>
        </w:rPr>
        <w:t xml:space="preserve">- </w:t>
      </w:r>
      <w:r w:rsidRPr="00A042DC">
        <w:rPr>
          <w:rFonts w:ascii="Corbel" w:hAnsi="Corbel"/>
          <w:b/>
          <w:color w:val="215868" w:themeColor="accent5" w:themeShade="80"/>
          <w:u w:val="single"/>
        </w:rPr>
        <w:t xml:space="preserve">traduction : </w:t>
      </w:r>
    </w:p>
    <w:p w:rsidR="00A042DC" w:rsidRDefault="00A042DC" w:rsidP="00A042DC">
      <w:pPr>
        <w:rPr>
          <w:rFonts w:ascii="Corbel" w:hAnsi="Corbel"/>
          <w:color w:val="215868" w:themeColor="accent5" w:themeShade="80"/>
        </w:rPr>
      </w:pPr>
      <w:r>
        <w:rPr>
          <w:rFonts w:ascii="Corbel" w:hAnsi="Corbel"/>
          <w:color w:val="215868" w:themeColor="accent5" w:themeShade="80"/>
        </w:rPr>
        <w:t>De solides preuves indiquent que la perte d'emploi et le risque de chômage sont associés à une augmentation du taux de stress nuisible, de l'anxiété, de la dépression et des troubles psychotiques. De récentes études montrent que la hausse du chômage est également associée, dans nombre limité mais significatif de cas, à une  augmentation des suicides et des décès prématurés. Le chômage provoque une dégradation significative de la santé mentale en général mais concerne spécifiquement  les hommes d'âge moyen." - Source : OMS 2010 La santé mentale et le bien-être au travail - protection et l'inclusion dans les moments difficiles.</w:t>
      </w:r>
    </w:p>
    <w:p w:rsidR="00A042DC" w:rsidRDefault="00A042DC" w:rsidP="00A042DC">
      <w:pPr>
        <w:rPr>
          <w:rFonts w:ascii="Corbel" w:hAnsi="Corbel"/>
          <w:b/>
          <w:color w:val="215868" w:themeColor="accent5" w:themeShade="80"/>
          <w:u w:val="single"/>
        </w:rPr>
      </w:pPr>
      <w:r w:rsidRPr="00A042DC">
        <w:rPr>
          <w:rFonts w:ascii="Corbel" w:hAnsi="Corbel"/>
          <w:b/>
          <w:color w:val="215868" w:themeColor="accent5" w:themeShade="80"/>
          <w:u w:val="single"/>
        </w:rPr>
        <w:t xml:space="preserve"> </w:t>
      </w:r>
    </w:p>
    <w:p w:rsidR="00B5547A" w:rsidRPr="00A042DC" w:rsidRDefault="00B5547A" w:rsidP="00A042DC">
      <w:pPr>
        <w:rPr>
          <w:rStyle w:val="alt-edited"/>
          <w:rFonts w:ascii="Corbel" w:hAnsi="Corbel"/>
        </w:rPr>
      </w:pPr>
      <w:r w:rsidRPr="00A042DC">
        <w:rPr>
          <w:rFonts w:ascii="Corbel" w:hAnsi="Corbel"/>
          <w:b/>
          <w:color w:val="215868" w:themeColor="accent5" w:themeShade="80"/>
          <w:u w:val="single"/>
        </w:rPr>
        <w:t>Diapo 9 traduction</w:t>
      </w:r>
      <w:r w:rsidRPr="00A042DC">
        <w:rPr>
          <w:rFonts w:ascii="Corbel" w:hAnsi="Corbel"/>
          <w:color w:val="215868" w:themeColor="accent5" w:themeShade="80"/>
        </w:rPr>
        <w:t xml:space="preserve"> : titre : </w:t>
      </w:r>
      <w:r w:rsidRPr="00A042DC">
        <w:rPr>
          <w:rStyle w:val="alt-edited"/>
          <w:rFonts w:ascii="Corbel" w:hAnsi="Corbel"/>
        </w:rPr>
        <w:t>Effets des réductions budgétaires pour les conditions de travail</w:t>
      </w:r>
    </w:p>
    <w:p w:rsidR="00B5547A" w:rsidRPr="00A042DC" w:rsidRDefault="00B5547A" w:rsidP="00B5547A">
      <w:pPr>
        <w:rPr>
          <w:rFonts w:ascii="Corbel" w:hAnsi="Corbel"/>
          <w:color w:val="215868" w:themeColor="accent5" w:themeShade="80"/>
          <w:u w:val="single"/>
        </w:rPr>
      </w:pPr>
      <w:r w:rsidRPr="00A042DC">
        <w:rPr>
          <w:rFonts w:ascii="Corbel" w:hAnsi="Corbel"/>
          <w:color w:val="215868" w:themeColor="accent5" w:themeShade="80"/>
          <w:u w:val="single"/>
        </w:rPr>
        <w:t>Gauche du schéma</w:t>
      </w:r>
    </w:p>
    <w:p w:rsidR="00B5547A" w:rsidRPr="00A042DC" w:rsidRDefault="00B5547A" w:rsidP="00B5547A">
      <w:pPr>
        <w:pStyle w:val="Paragraphedeliste"/>
        <w:numPr>
          <w:ilvl w:val="0"/>
          <w:numId w:val="2"/>
        </w:numPr>
        <w:rPr>
          <w:rFonts w:ascii="Corbel" w:hAnsi="Corbel"/>
          <w:color w:val="215868" w:themeColor="accent5" w:themeShade="80"/>
        </w:rPr>
      </w:pPr>
      <w:r w:rsidRPr="00A042DC">
        <w:rPr>
          <w:rFonts w:ascii="Corbel" w:hAnsi="Corbel"/>
          <w:color w:val="215868" w:themeColor="accent5" w:themeShade="80"/>
        </w:rPr>
        <w:t>Inégalité entre les sexes a augmenté</w:t>
      </w:r>
      <w:r w:rsidRPr="00A042DC">
        <w:rPr>
          <w:rFonts w:ascii="Corbel" w:hAnsi="Corbel"/>
          <w:color w:val="215868" w:themeColor="accent5" w:themeShade="80"/>
        </w:rPr>
        <w:t>e</w:t>
      </w:r>
      <w:r w:rsidRPr="00A042DC">
        <w:rPr>
          <w:rFonts w:ascii="Corbel" w:hAnsi="Corbel"/>
          <w:color w:val="215868" w:themeColor="accent5" w:themeShade="80"/>
        </w:rPr>
        <w:t xml:space="preserve"> </w:t>
      </w:r>
    </w:p>
    <w:p w:rsidR="00B5547A" w:rsidRPr="00A042DC" w:rsidRDefault="00B5547A" w:rsidP="00B5547A">
      <w:pPr>
        <w:pStyle w:val="Paragraphedeliste"/>
        <w:numPr>
          <w:ilvl w:val="0"/>
          <w:numId w:val="2"/>
        </w:numPr>
        <w:rPr>
          <w:rFonts w:ascii="Corbel" w:hAnsi="Corbel"/>
          <w:color w:val="215868" w:themeColor="accent5" w:themeShade="80"/>
        </w:rPr>
      </w:pPr>
      <w:r w:rsidRPr="00A042DC">
        <w:rPr>
          <w:rFonts w:ascii="Corbel" w:hAnsi="Corbel"/>
          <w:color w:val="215868" w:themeColor="accent5" w:themeShade="80"/>
        </w:rPr>
        <w:t xml:space="preserve">Réduction </w:t>
      </w:r>
      <w:r w:rsidRPr="00A042DC">
        <w:rPr>
          <w:rFonts w:ascii="Corbel" w:hAnsi="Corbel"/>
          <w:color w:val="215868" w:themeColor="accent5" w:themeShade="80"/>
        </w:rPr>
        <w:t>des prestations fournies par l'É</w:t>
      </w:r>
      <w:r w:rsidRPr="00A042DC">
        <w:rPr>
          <w:rFonts w:ascii="Corbel" w:hAnsi="Corbel"/>
          <w:color w:val="215868" w:themeColor="accent5" w:themeShade="80"/>
        </w:rPr>
        <w:t xml:space="preserve">tat </w:t>
      </w:r>
    </w:p>
    <w:p w:rsidR="00B5547A" w:rsidRPr="00A042DC" w:rsidRDefault="00B5547A" w:rsidP="00B5547A">
      <w:pPr>
        <w:pStyle w:val="Paragraphedeliste"/>
        <w:numPr>
          <w:ilvl w:val="0"/>
          <w:numId w:val="2"/>
        </w:numPr>
        <w:rPr>
          <w:rFonts w:ascii="Corbel" w:hAnsi="Corbel"/>
          <w:color w:val="215868" w:themeColor="accent5" w:themeShade="80"/>
        </w:rPr>
      </w:pPr>
      <w:r w:rsidRPr="00A042DC">
        <w:rPr>
          <w:rFonts w:ascii="Corbel" w:hAnsi="Corbel"/>
          <w:color w:val="215868" w:themeColor="accent5" w:themeShade="80"/>
        </w:rPr>
        <w:t xml:space="preserve">Plus </w:t>
      </w:r>
      <w:r w:rsidRPr="00A042DC">
        <w:rPr>
          <w:rFonts w:ascii="Corbel" w:hAnsi="Corbel"/>
          <w:color w:val="215868" w:themeColor="accent5" w:themeShade="80"/>
        </w:rPr>
        <w:t xml:space="preserve">de </w:t>
      </w:r>
      <w:r w:rsidRPr="00A042DC">
        <w:rPr>
          <w:rFonts w:ascii="Corbel" w:hAnsi="Corbel"/>
          <w:color w:val="215868" w:themeColor="accent5" w:themeShade="80"/>
        </w:rPr>
        <w:t xml:space="preserve">précarité </w:t>
      </w:r>
    </w:p>
    <w:p w:rsidR="00B5547A" w:rsidRPr="00A042DC" w:rsidRDefault="00B5547A" w:rsidP="00B5547A">
      <w:pPr>
        <w:pStyle w:val="Paragraphedeliste"/>
        <w:numPr>
          <w:ilvl w:val="0"/>
          <w:numId w:val="2"/>
        </w:numPr>
        <w:rPr>
          <w:rFonts w:ascii="Corbel" w:hAnsi="Corbel"/>
          <w:color w:val="215868" w:themeColor="accent5" w:themeShade="80"/>
        </w:rPr>
      </w:pPr>
      <w:r w:rsidRPr="00A042DC">
        <w:rPr>
          <w:rFonts w:ascii="Corbel" w:hAnsi="Corbel"/>
          <w:color w:val="215868" w:themeColor="accent5" w:themeShade="80"/>
        </w:rPr>
        <w:t xml:space="preserve">Diminution du développement professionnel </w:t>
      </w:r>
    </w:p>
    <w:p w:rsidR="00B5547A" w:rsidRPr="00A042DC" w:rsidRDefault="00B5547A" w:rsidP="00B5547A">
      <w:pPr>
        <w:pStyle w:val="Paragraphedeliste"/>
        <w:numPr>
          <w:ilvl w:val="0"/>
          <w:numId w:val="2"/>
        </w:numPr>
        <w:rPr>
          <w:rFonts w:ascii="Corbel" w:hAnsi="Corbel"/>
          <w:color w:val="215868" w:themeColor="accent5" w:themeShade="80"/>
        </w:rPr>
      </w:pPr>
      <w:r w:rsidRPr="00A042DC">
        <w:rPr>
          <w:rFonts w:ascii="Corbel" w:hAnsi="Corbel"/>
          <w:color w:val="215868" w:themeColor="accent5" w:themeShade="80"/>
        </w:rPr>
        <w:t xml:space="preserve">Diminution du soutien matériel </w:t>
      </w:r>
    </w:p>
    <w:p w:rsidR="00B5547A" w:rsidRPr="00A042DC" w:rsidRDefault="00B5547A" w:rsidP="00B5547A">
      <w:pPr>
        <w:pStyle w:val="Paragraphedeliste"/>
        <w:numPr>
          <w:ilvl w:val="0"/>
          <w:numId w:val="2"/>
        </w:numPr>
        <w:rPr>
          <w:rFonts w:ascii="Corbel" w:hAnsi="Corbel"/>
          <w:color w:val="215868" w:themeColor="accent5" w:themeShade="80"/>
        </w:rPr>
      </w:pPr>
      <w:r w:rsidRPr="00A042DC">
        <w:rPr>
          <w:rFonts w:ascii="Corbel" w:hAnsi="Corbel"/>
          <w:color w:val="215868" w:themeColor="accent5" w:themeShade="80"/>
        </w:rPr>
        <w:t xml:space="preserve">Détérioration de la conciliation </w:t>
      </w:r>
      <w:r w:rsidRPr="00A042DC">
        <w:rPr>
          <w:rFonts w:ascii="Corbel" w:hAnsi="Corbel"/>
          <w:color w:val="215868" w:themeColor="accent5" w:themeShade="80"/>
        </w:rPr>
        <w:t xml:space="preserve"> entre </w:t>
      </w:r>
      <w:r w:rsidRPr="00A042DC">
        <w:rPr>
          <w:rFonts w:ascii="Corbel" w:hAnsi="Corbel"/>
          <w:color w:val="215868" w:themeColor="accent5" w:themeShade="80"/>
        </w:rPr>
        <w:t xml:space="preserve">vie personnelle </w:t>
      </w:r>
      <w:r w:rsidRPr="00A042DC">
        <w:rPr>
          <w:rFonts w:ascii="Corbel" w:hAnsi="Corbel"/>
          <w:color w:val="215868" w:themeColor="accent5" w:themeShade="80"/>
        </w:rPr>
        <w:t>et professionnelle</w:t>
      </w:r>
    </w:p>
    <w:p w:rsidR="00B5547A" w:rsidRPr="00A042DC" w:rsidRDefault="00B5547A" w:rsidP="00B5547A">
      <w:pPr>
        <w:rPr>
          <w:rFonts w:ascii="Corbel" w:hAnsi="Corbel"/>
          <w:color w:val="215868" w:themeColor="accent5" w:themeShade="80"/>
        </w:rPr>
      </w:pPr>
    </w:p>
    <w:p w:rsidR="00B5547A" w:rsidRPr="00A042DC" w:rsidRDefault="00B5547A" w:rsidP="00B5547A">
      <w:pPr>
        <w:rPr>
          <w:rFonts w:ascii="Corbel" w:hAnsi="Corbel"/>
          <w:color w:val="215868" w:themeColor="accent5" w:themeShade="80"/>
        </w:rPr>
      </w:pPr>
      <w:r w:rsidRPr="00A042DC">
        <w:rPr>
          <w:rFonts w:ascii="Corbel" w:hAnsi="Corbel"/>
          <w:color w:val="215868" w:themeColor="accent5" w:themeShade="80"/>
          <w:u w:val="single"/>
        </w:rPr>
        <w:t>Droite du schéma</w:t>
      </w:r>
      <w:r w:rsidRPr="00A042DC">
        <w:rPr>
          <w:rFonts w:ascii="Corbel" w:hAnsi="Corbel"/>
          <w:color w:val="215868" w:themeColor="accent5" w:themeShade="80"/>
        </w:rPr>
        <w:t xml:space="preserve"> </w:t>
      </w:r>
    </w:p>
    <w:p w:rsidR="00B5547A" w:rsidRPr="00A042DC" w:rsidRDefault="00B5547A" w:rsidP="00B5547A">
      <w:pPr>
        <w:pStyle w:val="Paragraphedeliste"/>
        <w:numPr>
          <w:ilvl w:val="0"/>
          <w:numId w:val="1"/>
        </w:numPr>
        <w:rPr>
          <w:rFonts w:ascii="Corbel" w:hAnsi="Corbel"/>
          <w:color w:val="215868" w:themeColor="accent5" w:themeShade="80"/>
        </w:rPr>
      </w:pPr>
      <w:r w:rsidRPr="00A042DC">
        <w:rPr>
          <w:rFonts w:ascii="Corbel" w:hAnsi="Corbel"/>
          <w:color w:val="215868" w:themeColor="accent5" w:themeShade="80"/>
        </w:rPr>
        <w:t xml:space="preserve">Pas du tout </w:t>
      </w:r>
    </w:p>
    <w:p w:rsidR="00B5547A" w:rsidRPr="00A042DC" w:rsidRDefault="00B5547A" w:rsidP="00B5547A">
      <w:pPr>
        <w:pStyle w:val="Paragraphedeliste"/>
        <w:numPr>
          <w:ilvl w:val="0"/>
          <w:numId w:val="1"/>
        </w:numPr>
        <w:rPr>
          <w:rFonts w:ascii="Corbel" w:hAnsi="Corbel"/>
          <w:color w:val="215868" w:themeColor="accent5" w:themeShade="80"/>
        </w:rPr>
      </w:pPr>
      <w:r w:rsidRPr="00A042DC">
        <w:rPr>
          <w:rFonts w:ascii="Corbel" w:hAnsi="Corbel"/>
          <w:color w:val="215868" w:themeColor="accent5" w:themeShade="80"/>
        </w:rPr>
        <w:t xml:space="preserve">Dans une très faible mesure </w:t>
      </w:r>
    </w:p>
    <w:p w:rsidR="00B5547A" w:rsidRPr="00A042DC" w:rsidRDefault="00B5547A" w:rsidP="00B5547A">
      <w:pPr>
        <w:pStyle w:val="Paragraphedeliste"/>
        <w:numPr>
          <w:ilvl w:val="0"/>
          <w:numId w:val="1"/>
        </w:numPr>
        <w:rPr>
          <w:rFonts w:ascii="Corbel" w:hAnsi="Corbel"/>
          <w:color w:val="215868" w:themeColor="accent5" w:themeShade="80"/>
        </w:rPr>
      </w:pPr>
      <w:r w:rsidRPr="00A042DC">
        <w:rPr>
          <w:rFonts w:ascii="Corbel" w:hAnsi="Corbel"/>
          <w:color w:val="215868" w:themeColor="accent5" w:themeShade="80"/>
        </w:rPr>
        <w:t xml:space="preserve">Dans une moindre mesure </w:t>
      </w:r>
    </w:p>
    <w:p w:rsidR="00B5547A" w:rsidRPr="00A042DC" w:rsidRDefault="00B5547A" w:rsidP="00B5547A">
      <w:pPr>
        <w:pStyle w:val="Paragraphedeliste"/>
        <w:numPr>
          <w:ilvl w:val="0"/>
          <w:numId w:val="1"/>
        </w:numPr>
        <w:rPr>
          <w:rFonts w:ascii="Corbel" w:hAnsi="Corbel"/>
          <w:color w:val="215868" w:themeColor="accent5" w:themeShade="80"/>
        </w:rPr>
      </w:pPr>
      <w:r w:rsidRPr="00A042DC">
        <w:rPr>
          <w:rFonts w:ascii="Corbel" w:hAnsi="Corbel"/>
          <w:color w:val="215868" w:themeColor="accent5" w:themeShade="80"/>
        </w:rPr>
        <w:t xml:space="preserve">Dans une large mesure, </w:t>
      </w:r>
    </w:p>
    <w:p w:rsidR="00B5547A" w:rsidRPr="00A042DC" w:rsidRDefault="00B5547A" w:rsidP="00B5547A">
      <w:pPr>
        <w:pStyle w:val="Paragraphedeliste"/>
        <w:numPr>
          <w:ilvl w:val="0"/>
          <w:numId w:val="1"/>
        </w:numPr>
        <w:rPr>
          <w:rFonts w:ascii="Corbel" w:hAnsi="Corbel"/>
          <w:color w:val="215868" w:themeColor="accent5" w:themeShade="80"/>
        </w:rPr>
      </w:pPr>
      <w:r w:rsidRPr="00A042DC">
        <w:rPr>
          <w:rFonts w:ascii="Corbel" w:hAnsi="Corbel"/>
          <w:color w:val="215868" w:themeColor="accent5" w:themeShade="80"/>
        </w:rPr>
        <w:t>Dans une très large mesure</w:t>
      </w:r>
    </w:p>
    <w:p w:rsidR="00B5547A" w:rsidRPr="00A042DC" w:rsidRDefault="00B5547A" w:rsidP="00B5547A">
      <w:pPr>
        <w:rPr>
          <w:rFonts w:ascii="Corbel" w:hAnsi="Corbel"/>
          <w:color w:val="215868" w:themeColor="accent5" w:themeShade="80"/>
        </w:rPr>
      </w:pPr>
    </w:p>
    <w:p w:rsidR="00B5547A" w:rsidRPr="00A042DC" w:rsidRDefault="00B5547A" w:rsidP="00B5547A">
      <w:pPr>
        <w:rPr>
          <w:rFonts w:ascii="Corbel" w:hAnsi="Corbel"/>
          <w:color w:val="215868" w:themeColor="accent5" w:themeShade="80"/>
        </w:rPr>
      </w:pPr>
      <w:r w:rsidRPr="00A042DC">
        <w:rPr>
          <w:rFonts w:ascii="Corbel" w:hAnsi="Corbel"/>
          <w:b/>
          <w:color w:val="215868" w:themeColor="accent5" w:themeShade="80"/>
          <w:u w:val="single"/>
        </w:rPr>
        <w:t>Diapo 10 – traduction</w:t>
      </w:r>
      <w:r w:rsidRPr="00A042DC">
        <w:rPr>
          <w:rFonts w:ascii="Corbel" w:hAnsi="Corbel"/>
          <w:color w:val="215868" w:themeColor="accent5" w:themeShade="80"/>
        </w:rPr>
        <w:t> : L'emploi précaire, l'érosion de la relation employeur-employé "standard" (CDI à temps plein)</w:t>
      </w:r>
    </w:p>
    <w:p w:rsidR="00B5547A" w:rsidRPr="00A042DC" w:rsidRDefault="00B5547A" w:rsidP="00B5547A">
      <w:pPr>
        <w:rPr>
          <w:rFonts w:ascii="Corbel" w:hAnsi="Corbel"/>
          <w:color w:val="215868" w:themeColor="accent5" w:themeShade="80"/>
        </w:rPr>
      </w:pPr>
    </w:p>
    <w:p w:rsidR="00B5547A" w:rsidRPr="00A042DC" w:rsidRDefault="00B5547A" w:rsidP="00B5547A">
      <w:pPr>
        <w:rPr>
          <w:rFonts w:ascii="Corbel" w:hAnsi="Corbel"/>
          <w:color w:val="215868" w:themeColor="accent5" w:themeShade="80"/>
        </w:rPr>
      </w:pPr>
      <w:r w:rsidRPr="00A042DC">
        <w:rPr>
          <w:rFonts w:ascii="Corbel" w:hAnsi="Corbel"/>
          <w:color w:val="215868" w:themeColor="accent5" w:themeShade="80"/>
        </w:rPr>
        <w:t xml:space="preserve">Situation de l'emploi qui implique de l'instabilité, des bas salaires, un manque de protection réglementaire associé à un contrôle des travailleurs limité au processus de travail ou à une combinaison de tous ces facteurs. </w:t>
      </w:r>
    </w:p>
    <w:p w:rsidR="00B5547A" w:rsidRPr="00A042DC" w:rsidRDefault="00B5547A" w:rsidP="00B5547A">
      <w:pPr>
        <w:rPr>
          <w:rFonts w:ascii="Corbel" w:hAnsi="Corbel"/>
          <w:color w:val="215868" w:themeColor="accent5" w:themeShade="80"/>
        </w:rPr>
      </w:pPr>
    </w:p>
    <w:p w:rsidR="00B5547A" w:rsidRPr="00A042DC" w:rsidRDefault="00B5547A" w:rsidP="00B5547A">
      <w:pPr>
        <w:rPr>
          <w:rFonts w:ascii="Corbel" w:hAnsi="Corbel"/>
          <w:color w:val="215868" w:themeColor="accent5" w:themeShade="80"/>
        </w:rPr>
      </w:pPr>
      <w:r w:rsidRPr="00A042DC">
        <w:rPr>
          <w:rFonts w:ascii="Corbel" w:hAnsi="Corbel"/>
          <w:b/>
          <w:color w:val="215868" w:themeColor="accent5" w:themeShade="80"/>
        </w:rPr>
        <w:t>Les aspects contractuels</w:t>
      </w:r>
      <w:r w:rsidRPr="00A042DC">
        <w:rPr>
          <w:rFonts w:ascii="Corbel" w:hAnsi="Corbel"/>
          <w:color w:val="215868" w:themeColor="accent5" w:themeShade="80"/>
        </w:rPr>
        <w:t xml:space="preserve"> </w:t>
      </w:r>
      <w:r w:rsidRPr="00A042DC">
        <w:rPr>
          <w:rFonts w:ascii="Corbel" w:hAnsi="Corbel"/>
          <w:color w:val="215868" w:themeColor="accent5" w:themeShade="80"/>
        </w:rPr>
        <w:t xml:space="preserve">: </w:t>
      </w:r>
    </w:p>
    <w:p w:rsidR="00B5547A" w:rsidRPr="00A042DC" w:rsidRDefault="00B5547A" w:rsidP="00B5547A">
      <w:pPr>
        <w:rPr>
          <w:rFonts w:ascii="Corbel" w:hAnsi="Corbel"/>
          <w:color w:val="215868" w:themeColor="accent5" w:themeShade="80"/>
        </w:rPr>
      </w:pPr>
      <w:r w:rsidRPr="00A042DC">
        <w:rPr>
          <w:rFonts w:ascii="Corbel" w:hAnsi="Corbel"/>
          <w:color w:val="215868" w:themeColor="accent5" w:themeShade="80"/>
        </w:rPr>
        <w:t xml:space="preserve">• instabilité de l'emploi (type et durée du contrat), </w:t>
      </w:r>
    </w:p>
    <w:p w:rsidR="00B5547A" w:rsidRPr="00A042DC" w:rsidRDefault="00B5547A" w:rsidP="00B5547A">
      <w:pPr>
        <w:rPr>
          <w:rFonts w:ascii="Corbel" w:hAnsi="Corbel"/>
          <w:color w:val="215868" w:themeColor="accent5" w:themeShade="80"/>
        </w:rPr>
      </w:pPr>
      <w:r w:rsidRPr="00A042DC">
        <w:rPr>
          <w:rFonts w:ascii="Corbel" w:hAnsi="Corbel"/>
          <w:color w:val="215868" w:themeColor="accent5" w:themeShade="80"/>
        </w:rPr>
        <w:t xml:space="preserve">• bas salaires </w:t>
      </w:r>
      <w:r w:rsidRPr="00A042DC">
        <w:rPr>
          <w:rFonts w:ascii="Corbel" w:hAnsi="Corbel"/>
          <w:i/>
          <w:color w:val="215868" w:themeColor="accent5" w:themeShade="80"/>
        </w:rPr>
        <w:t>(</w:t>
      </w:r>
      <w:r w:rsidRPr="00A042DC">
        <w:rPr>
          <w:rFonts w:ascii="Corbel" w:hAnsi="Corbel"/>
          <w:i/>
          <w:color w:val="215868" w:themeColor="accent5" w:themeShade="80"/>
        </w:rPr>
        <w:t>voire dans</w:t>
      </w:r>
      <w:r w:rsidRPr="00A042DC">
        <w:rPr>
          <w:rFonts w:ascii="Corbel" w:hAnsi="Corbel"/>
          <w:i/>
          <w:color w:val="215868" w:themeColor="accent5" w:themeShade="80"/>
        </w:rPr>
        <w:t xml:space="preserve"> un possible dénuement économique</w:t>
      </w:r>
      <w:r w:rsidRPr="00A042DC">
        <w:rPr>
          <w:rFonts w:ascii="Corbel" w:hAnsi="Corbel"/>
          <w:color w:val="215868" w:themeColor="accent5" w:themeShade="80"/>
        </w:rPr>
        <w:t>),</w:t>
      </w:r>
    </w:p>
    <w:p w:rsidR="00B5547A" w:rsidRPr="00A042DC" w:rsidRDefault="00B5547A" w:rsidP="00B5547A">
      <w:pPr>
        <w:rPr>
          <w:rFonts w:ascii="Corbel" w:hAnsi="Corbel"/>
          <w:color w:val="215868" w:themeColor="accent5" w:themeShade="80"/>
        </w:rPr>
      </w:pPr>
      <w:r w:rsidRPr="00A042DC">
        <w:rPr>
          <w:rFonts w:ascii="Corbel" w:hAnsi="Corbel"/>
          <w:color w:val="215868" w:themeColor="accent5" w:themeShade="80"/>
        </w:rPr>
        <w:t xml:space="preserve">• les droits des travailleurs et la protection sociale limitée, </w:t>
      </w:r>
    </w:p>
    <w:p w:rsidR="00B5547A" w:rsidRPr="00A042DC" w:rsidRDefault="00B5547A" w:rsidP="00B5547A">
      <w:pPr>
        <w:rPr>
          <w:rFonts w:ascii="Corbel" w:hAnsi="Corbel"/>
          <w:color w:val="215868" w:themeColor="accent5" w:themeShade="80"/>
        </w:rPr>
      </w:pPr>
      <w:r w:rsidRPr="00A042DC">
        <w:rPr>
          <w:rFonts w:ascii="Corbel" w:hAnsi="Corbel"/>
          <w:color w:val="215868" w:themeColor="accent5" w:themeShade="80"/>
        </w:rPr>
        <w:t>• contrats individualisés (</w:t>
      </w:r>
      <w:r w:rsidRPr="00A042DC">
        <w:rPr>
          <w:rFonts w:ascii="Corbel" w:hAnsi="Corbel"/>
          <w:i/>
          <w:color w:val="215868" w:themeColor="accent5" w:themeShade="80"/>
        </w:rPr>
        <w:t>niveau individuel négociation sur conditions d'emploi</w:t>
      </w:r>
      <w:r w:rsidRPr="00A042DC">
        <w:rPr>
          <w:rFonts w:ascii="Corbel" w:hAnsi="Corbel"/>
          <w:color w:val="215868" w:themeColor="accent5" w:themeShade="80"/>
        </w:rPr>
        <w:t xml:space="preserve">). </w:t>
      </w:r>
    </w:p>
    <w:p w:rsidR="00B5547A" w:rsidRPr="00A042DC" w:rsidRDefault="00B5547A" w:rsidP="00B5547A">
      <w:pPr>
        <w:rPr>
          <w:rFonts w:ascii="Corbel" w:hAnsi="Corbel"/>
          <w:color w:val="215868" w:themeColor="accent5" w:themeShade="80"/>
        </w:rPr>
      </w:pPr>
    </w:p>
    <w:p w:rsidR="00B5547A" w:rsidRPr="00A042DC" w:rsidRDefault="00B5547A" w:rsidP="00B5547A">
      <w:pPr>
        <w:rPr>
          <w:rFonts w:ascii="Corbel" w:hAnsi="Corbel"/>
          <w:color w:val="215868" w:themeColor="accent5" w:themeShade="80"/>
        </w:rPr>
      </w:pPr>
      <w:r w:rsidRPr="00A042DC">
        <w:rPr>
          <w:rFonts w:ascii="Corbel" w:hAnsi="Corbel"/>
          <w:b/>
          <w:color w:val="215868" w:themeColor="accent5" w:themeShade="80"/>
        </w:rPr>
        <w:t>Les relations de pouvoir en milieu de travail</w:t>
      </w:r>
      <w:r w:rsidRPr="00A042DC">
        <w:rPr>
          <w:rFonts w:ascii="Corbel" w:hAnsi="Corbel"/>
          <w:color w:val="215868" w:themeColor="accent5" w:themeShade="80"/>
        </w:rPr>
        <w:t xml:space="preserve">: </w:t>
      </w:r>
    </w:p>
    <w:p w:rsidR="00B5547A" w:rsidRPr="00A042DC" w:rsidRDefault="00B5547A" w:rsidP="00B5547A">
      <w:pPr>
        <w:rPr>
          <w:rFonts w:ascii="Corbel" w:hAnsi="Corbel"/>
          <w:color w:val="215868" w:themeColor="accent5" w:themeShade="80"/>
        </w:rPr>
      </w:pPr>
      <w:r w:rsidRPr="00A042DC">
        <w:rPr>
          <w:rFonts w:ascii="Corbel" w:hAnsi="Corbel"/>
          <w:color w:val="215868" w:themeColor="accent5" w:themeShade="80"/>
        </w:rPr>
        <w:t>• la vulnérabilité des travailleurs ou sans défense (</w:t>
      </w:r>
      <w:r w:rsidRPr="00A042DC">
        <w:rPr>
          <w:rFonts w:ascii="Corbel" w:hAnsi="Corbel"/>
          <w:color w:val="215868" w:themeColor="accent5" w:themeShade="80"/>
          <w:u w:val="single"/>
        </w:rPr>
        <w:t>au poste de travail</w:t>
      </w:r>
      <w:r w:rsidRPr="00A042DC">
        <w:rPr>
          <w:rFonts w:ascii="Corbel" w:hAnsi="Corbel"/>
          <w:color w:val="215868" w:themeColor="accent5" w:themeShade="80"/>
        </w:rPr>
        <w:t xml:space="preserve"> : comportements autoritaires, violents ou menaçants) </w:t>
      </w:r>
    </w:p>
    <w:p w:rsidR="00B5547A" w:rsidRPr="00A042DC" w:rsidRDefault="00B5547A" w:rsidP="00B5547A">
      <w:pPr>
        <w:rPr>
          <w:rFonts w:ascii="Corbel" w:hAnsi="Corbel"/>
          <w:color w:val="215868" w:themeColor="accent5" w:themeShade="80"/>
        </w:rPr>
      </w:pPr>
      <w:r w:rsidRPr="00A042DC">
        <w:rPr>
          <w:rFonts w:ascii="Corbel" w:hAnsi="Corbel"/>
          <w:color w:val="215868" w:themeColor="accent5" w:themeShade="80"/>
        </w:rPr>
        <w:t>• impuissance à exercer des droits juridiques</w:t>
      </w:r>
    </w:p>
    <w:p w:rsidR="0030471C" w:rsidRPr="00A042DC" w:rsidRDefault="0030471C">
      <w:pPr>
        <w:rPr>
          <w:rFonts w:ascii="Corbel" w:hAnsi="Corbel"/>
        </w:rPr>
      </w:pPr>
    </w:p>
    <w:sectPr w:rsidR="0030471C" w:rsidRPr="00A04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835CB"/>
    <w:multiLevelType w:val="hybridMultilevel"/>
    <w:tmpl w:val="CB82B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D00603B"/>
    <w:multiLevelType w:val="hybridMultilevel"/>
    <w:tmpl w:val="EFD20B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47A"/>
    <w:rsid w:val="0030471C"/>
    <w:rsid w:val="00A042DC"/>
    <w:rsid w:val="00B554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47A"/>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lt-edited">
    <w:name w:val="alt-edited"/>
    <w:basedOn w:val="Policepardfaut"/>
    <w:rsid w:val="00B5547A"/>
  </w:style>
  <w:style w:type="paragraph" w:styleId="Paragraphedeliste">
    <w:name w:val="List Paragraph"/>
    <w:basedOn w:val="Normal"/>
    <w:uiPriority w:val="34"/>
    <w:qFormat/>
    <w:rsid w:val="00B5547A"/>
    <w:pPr>
      <w:ind w:left="720"/>
      <w:contextualSpacing/>
    </w:pPr>
  </w:style>
  <w:style w:type="paragraph" w:customStyle="1" w:styleId="Default">
    <w:name w:val="Default"/>
    <w:rsid w:val="00A042DC"/>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47A"/>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lt-edited">
    <w:name w:val="alt-edited"/>
    <w:basedOn w:val="Policepardfaut"/>
    <w:rsid w:val="00B5547A"/>
  </w:style>
  <w:style w:type="paragraph" w:styleId="Paragraphedeliste">
    <w:name w:val="List Paragraph"/>
    <w:basedOn w:val="Normal"/>
    <w:uiPriority w:val="34"/>
    <w:qFormat/>
    <w:rsid w:val="00B5547A"/>
    <w:pPr>
      <w:ind w:left="720"/>
      <w:contextualSpacing/>
    </w:pPr>
  </w:style>
  <w:style w:type="paragraph" w:customStyle="1" w:styleId="Default">
    <w:name w:val="Default"/>
    <w:rsid w:val="00A042DC"/>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627565">
      <w:bodyDiv w:val="1"/>
      <w:marLeft w:val="0"/>
      <w:marRight w:val="0"/>
      <w:marTop w:val="0"/>
      <w:marBottom w:val="0"/>
      <w:divBdr>
        <w:top w:val="none" w:sz="0" w:space="0" w:color="auto"/>
        <w:left w:val="none" w:sz="0" w:space="0" w:color="auto"/>
        <w:bottom w:val="none" w:sz="0" w:space="0" w:color="auto"/>
        <w:right w:val="none" w:sz="0" w:space="0" w:color="auto"/>
      </w:divBdr>
    </w:div>
    <w:div w:id="155191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1814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helene-h</dc:creator>
  <cp:lastModifiedBy>helene-h</cp:lastModifiedBy>
  <cp:revision>2</cp:revision>
  <dcterms:created xsi:type="dcterms:W3CDTF">2014-06-11T15:07:00Z</dcterms:created>
  <dcterms:modified xsi:type="dcterms:W3CDTF">2014-06-11T15:07:00Z</dcterms:modified>
</cp:coreProperties>
</file>